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4DF4B" w14:textId="09C54430" w:rsidR="008C6960" w:rsidRPr="00803BA5" w:rsidRDefault="008C6960" w:rsidP="0073720C">
      <w:pPr>
        <w:spacing w:before="120" w:after="0" w:line="240" w:lineRule="auto"/>
        <w:jc w:val="center"/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</w:pPr>
      <w:r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  <w:t>Health &amp; Safety</w:t>
      </w:r>
      <w:r w:rsidRPr="00803BA5"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  <w:t xml:space="preserve"> Policy</w:t>
      </w:r>
    </w:p>
    <w:p w14:paraId="3C770C86" w14:textId="77777777" w:rsidR="008C6960" w:rsidRPr="00803BA5" w:rsidRDefault="008C6960" w:rsidP="0073720C">
      <w:pPr>
        <w:spacing w:before="120" w:after="0" w:line="240" w:lineRule="auto"/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</w:pPr>
      <w:r w:rsidRPr="00803BA5"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  <w:t>Introduction</w:t>
      </w:r>
    </w:p>
    <w:p w14:paraId="0F58C3BD" w14:textId="45F23FF2" w:rsidR="008C6960" w:rsidRDefault="008C6960" w:rsidP="0073720C">
      <w:pPr>
        <w:spacing w:before="120" w:after="0" w:line="240" w:lineRule="auto"/>
        <w:rPr>
          <w:rFonts w:asciiTheme="majorHAnsi" w:hAnsiTheme="majorHAnsi"/>
          <w:color w:val="806000" w:themeColor="accent4" w:themeShade="80"/>
          <w:sz w:val="24"/>
          <w:szCs w:val="24"/>
        </w:rPr>
      </w:pPr>
      <w:r w:rsidRPr="00803BA5">
        <w:rPr>
          <w:rFonts w:asciiTheme="majorHAnsi" w:hAnsiTheme="majorHAnsi"/>
          <w:color w:val="806000" w:themeColor="accent4" w:themeShade="80"/>
          <w:sz w:val="24"/>
          <w:szCs w:val="24"/>
        </w:rPr>
        <w:t xml:space="preserve">The following </w:t>
      </w:r>
      <w:r>
        <w:rPr>
          <w:rFonts w:asciiTheme="majorHAnsi" w:hAnsiTheme="majorHAnsi"/>
          <w:color w:val="806000" w:themeColor="accent4" w:themeShade="80"/>
          <w:sz w:val="24"/>
          <w:szCs w:val="24"/>
        </w:rPr>
        <w:t>p</w:t>
      </w:r>
      <w:r w:rsidRPr="00803BA5">
        <w:rPr>
          <w:rFonts w:asciiTheme="majorHAnsi" w:hAnsiTheme="majorHAnsi"/>
          <w:color w:val="806000" w:themeColor="accent4" w:themeShade="80"/>
          <w:sz w:val="24"/>
          <w:szCs w:val="24"/>
        </w:rPr>
        <w:t xml:space="preserve">olicy &amp; procedures are in place to </w:t>
      </w:r>
      <w:r>
        <w:rPr>
          <w:rFonts w:asciiTheme="majorHAnsi" w:hAnsiTheme="majorHAnsi"/>
          <w:color w:val="806000" w:themeColor="accent4" w:themeShade="80"/>
          <w:sz w:val="24"/>
          <w:szCs w:val="24"/>
        </w:rPr>
        <w:t xml:space="preserve">ensure that everyone that uses/hires/visits or works at the WCCVH does so safely. </w:t>
      </w:r>
    </w:p>
    <w:p w14:paraId="798C04A5" w14:textId="340828A1" w:rsidR="0073720C" w:rsidRDefault="0073720C" w:rsidP="0073720C">
      <w:pPr>
        <w:spacing w:before="120" w:after="0" w:line="240" w:lineRule="auto"/>
        <w:rPr>
          <w:rFonts w:asciiTheme="majorHAnsi" w:hAnsiTheme="majorHAnsi"/>
          <w:color w:val="806000" w:themeColor="accent4" w:themeShade="80"/>
          <w:sz w:val="24"/>
          <w:szCs w:val="24"/>
        </w:rPr>
      </w:pPr>
      <w:r>
        <w:rPr>
          <w:rFonts w:asciiTheme="majorHAnsi" w:hAnsiTheme="majorHAnsi"/>
          <w:color w:val="806000" w:themeColor="accent4" w:themeShade="80"/>
          <w:sz w:val="24"/>
          <w:szCs w:val="24"/>
        </w:rPr>
        <w:t>Anyone who notices anything they feel is of concern should let a Committee Member know.</w:t>
      </w:r>
    </w:p>
    <w:p w14:paraId="380B7C69" w14:textId="13AD06CF" w:rsidR="0073720C" w:rsidRDefault="0073720C" w:rsidP="0073720C">
      <w:pPr>
        <w:spacing w:before="120" w:after="0" w:line="240" w:lineRule="auto"/>
        <w:rPr>
          <w:rFonts w:asciiTheme="majorHAnsi" w:hAnsiTheme="majorHAnsi"/>
          <w:color w:val="806000" w:themeColor="accent4" w:themeShade="80"/>
          <w:sz w:val="24"/>
          <w:szCs w:val="24"/>
        </w:rPr>
      </w:pPr>
      <w:r>
        <w:rPr>
          <w:rFonts w:asciiTheme="majorHAnsi" w:hAnsiTheme="majorHAnsi"/>
          <w:color w:val="806000" w:themeColor="accent4" w:themeShade="80"/>
          <w:sz w:val="24"/>
          <w:szCs w:val="24"/>
        </w:rPr>
        <w:t xml:space="preserve">A H&amp;S Risk Assessment may be required from a person working at or hiring the Hall. This will be asked for when the Committee feels our own RA does not adequately cover the nature or the work being </w:t>
      </w:r>
      <w:proofErr w:type="gramStart"/>
      <w:r>
        <w:rPr>
          <w:rFonts w:asciiTheme="majorHAnsi" w:hAnsiTheme="majorHAnsi"/>
          <w:color w:val="806000" w:themeColor="accent4" w:themeShade="80"/>
          <w:sz w:val="24"/>
          <w:szCs w:val="24"/>
        </w:rPr>
        <w:t>done</w:t>
      </w:r>
      <w:proofErr w:type="gramEnd"/>
      <w:r>
        <w:rPr>
          <w:rFonts w:asciiTheme="majorHAnsi" w:hAnsiTheme="majorHAnsi"/>
          <w:color w:val="806000" w:themeColor="accent4" w:themeShade="80"/>
          <w:sz w:val="24"/>
          <w:szCs w:val="24"/>
        </w:rPr>
        <w:t xml:space="preserve"> or the event being held.</w:t>
      </w:r>
    </w:p>
    <w:p w14:paraId="440F3954" w14:textId="77777777" w:rsidR="008C6960" w:rsidRPr="00803BA5" w:rsidRDefault="008C6960" w:rsidP="0073720C">
      <w:pPr>
        <w:spacing w:before="120" w:after="0" w:line="240" w:lineRule="auto"/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  <w:t xml:space="preserve">Our </w:t>
      </w:r>
      <w:r w:rsidRPr="00803BA5"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  <w:t>Responsibilities</w:t>
      </w:r>
    </w:p>
    <w:p w14:paraId="1EBF540B" w14:textId="77777777" w:rsidR="008C6960" w:rsidRDefault="008C6960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>
        <w:rPr>
          <w:rFonts w:asciiTheme="majorHAnsi" w:hAnsiTheme="majorHAnsi" w:cs="CIDFont+F1"/>
          <w:color w:val="806000" w:themeColor="accent4" w:themeShade="80"/>
          <w:sz w:val="24"/>
          <w:szCs w:val="24"/>
        </w:rPr>
        <w:t>We have a responsibility to maintain the WCCVH premises and make sure they are fit for purpose and pose no evident dangers.</w:t>
      </w:r>
    </w:p>
    <w:p w14:paraId="0FACD822" w14:textId="2D07E1AB" w:rsidR="008C6960" w:rsidRDefault="008C6960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>
        <w:rPr>
          <w:rFonts w:asciiTheme="majorHAnsi" w:hAnsiTheme="majorHAnsi" w:cs="CIDFont+F1"/>
          <w:color w:val="806000" w:themeColor="accent4" w:themeShade="80"/>
          <w:sz w:val="24"/>
          <w:szCs w:val="24"/>
        </w:rPr>
        <w:t>We have a responsibility to comply with all H&amp;S regulations including:</w:t>
      </w:r>
    </w:p>
    <w:p w14:paraId="01DB831B" w14:textId="439E71EF" w:rsidR="008C6960" w:rsidRPr="008C6960" w:rsidRDefault="008C6960" w:rsidP="007372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 w:rsidRPr="008C6960">
        <w:rPr>
          <w:rFonts w:asciiTheme="majorHAnsi" w:hAnsiTheme="majorHAnsi" w:cs="CIDFont+F1"/>
          <w:color w:val="806000" w:themeColor="accent4" w:themeShade="80"/>
          <w:sz w:val="24"/>
          <w:szCs w:val="24"/>
        </w:rPr>
        <w:t>Asbestoses</w:t>
      </w:r>
    </w:p>
    <w:p w14:paraId="3085B737" w14:textId="7F31F12A" w:rsidR="008C6960" w:rsidRPr="008C6960" w:rsidRDefault="008C6960" w:rsidP="007372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 w:rsidRPr="008C6960">
        <w:rPr>
          <w:rFonts w:asciiTheme="majorHAnsi" w:hAnsiTheme="majorHAnsi" w:cs="CIDFont+F1"/>
          <w:color w:val="806000" w:themeColor="accent4" w:themeShade="80"/>
          <w:sz w:val="24"/>
          <w:szCs w:val="24"/>
        </w:rPr>
        <w:t>Hazardous/Toxic Substances</w:t>
      </w:r>
    </w:p>
    <w:p w14:paraId="26A8308E" w14:textId="39FDD2FE" w:rsidR="008C6960" w:rsidRPr="008C6960" w:rsidRDefault="008C6960" w:rsidP="007372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 w:rsidRPr="008C6960">
        <w:rPr>
          <w:rFonts w:asciiTheme="majorHAnsi" w:hAnsiTheme="majorHAnsi" w:cs="CIDFont+F1"/>
          <w:color w:val="806000" w:themeColor="accent4" w:themeShade="80"/>
          <w:sz w:val="24"/>
          <w:szCs w:val="24"/>
        </w:rPr>
        <w:t>Flammable Substances</w:t>
      </w:r>
    </w:p>
    <w:p w14:paraId="59942221" w14:textId="0AACC64F" w:rsidR="008C6960" w:rsidRPr="008C6960" w:rsidRDefault="008C6960" w:rsidP="007372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 w:rsidRPr="008C6960">
        <w:rPr>
          <w:rFonts w:asciiTheme="majorHAnsi" w:hAnsiTheme="majorHAnsi" w:cs="CIDFont+F1"/>
          <w:color w:val="806000" w:themeColor="accent4" w:themeShade="80"/>
          <w:sz w:val="24"/>
          <w:szCs w:val="24"/>
        </w:rPr>
        <w:t>Fire</w:t>
      </w:r>
    </w:p>
    <w:p w14:paraId="21408A29" w14:textId="699577DC" w:rsidR="008C6960" w:rsidRPr="008C6960" w:rsidRDefault="008C6960" w:rsidP="007372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 w:rsidRPr="008C6960">
        <w:rPr>
          <w:rFonts w:asciiTheme="majorHAnsi" w:hAnsiTheme="majorHAnsi" w:cs="CIDFont+F1"/>
          <w:color w:val="806000" w:themeColor="accent4" w:themeShade="80"/>
          <w:sz w:val="24"/>
          <w:szCs w:val="24"/>
        </w:rPr>
        <w:t>First Aid</w:t>
      </w:r>
    </w:p>
    <w:p w14:paraId="26241C93" w14:textId="76746417" w:rsidR="008C6960" w:rsidRDefault="008C6960" w:rsidP="0073720C">
      <w:pPr>
        <w:pStyle w:val="ListParagraph"/>
        <w:numPr>
          <w:ilvl w:val="0"/>
          <w:numId w:val="1"/>
        </w:num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 w:rsidRPr="008C6960">
        <w:rPr>
          <w:rFonts w:asciiTheme="majorHAnsi" w:hAnsiTheme="majorHAnsi" w:cs="CIDFont+F1"/>
          <w:color w:val="806000" w:themeColor="accent4" w:themeShade="80"/>
          <w:sz w:val="24"/>
          <w:szCs w:val="24"/>
        </w:rPr>
        <w:t>Food &amp; Hygiene</w:t>
      </w:r>
    </w:p>
    <w:p w14:paraId="6A30B506" w14:textId="1961C68F" w:rsidR="008C6960" w:rsidRDefault="008C6960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570B2DC5" w14:textId="62E7C5E4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709FA82C" w14:textId="380392DA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7C257A33" w14:textId="44CE01E5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2E2B8256" w14:textId="5633F668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2280D378" w14:textId="433D5459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22D9A530" w14:textId="12A2E786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0E98C54B" w14:textId="15D577E9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3965D8D2" w14:textId="133BCC74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781F41A6" w14:textId="62267065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77B2AC87" w14:textId="1C91AF15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1BF66BCF" w14:textId="579299FF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2E2AB583" w14:textId="37822F51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185E1044" w14:textId="6BA2D25F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606D8643" w14:textId="64C4AD00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682DD215" w14:textId="40E15DD9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4AF6A219" w14:textId="77777777" w:rsidR="0073720C" w:rsidRDefault="0073720C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19AD2F0E" w14:textId="5D586777" w:rsidR="008C6960" w:rsidRDefault="008C6960" w:rsidP="0073720C">
      <w:pPr>
        <w:spacing w:before="120" w:after="0" w:line="240" w:lineRule="auto"/>
        <w:jc w:val="center"/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</w:pPr>
      <w:r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  <w:lastRenderedPageBreak/>
        <w:t>Health &amp; Safety</w:t>
      </w:r>
      <w:r w:rsidRPr="00803BA5"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  <w:t xml:space="preserve"> P</w:t>
      </w:r>
      <w:r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  <w:t>rocedure</w:t>
      </w:r>
    </w:p>
    <w:p w14:paraId="23863100" w14:textId="1F4F7E78" w:rsidR="008C6960" w:rsidRDefault="008C6960" w:rsidP="0073720C">
      <w:pPr>
        <w:spacing w:before="120" w:after="0" w:line="240" w:lineRule="auto"/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</w:pPr>
    </w:p>
    <w:p w14:paraId="43C1839E" w14:textId="71E326B4" w:rsidR="008C6960" w:rsidRDefault="008C6960" w:rsidP="007372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  <w:r w:rsidRPr="008B1EF4">
        <w:rPr>
          <w:rFonts w:asciiTheme="majorHAnsi" w:hAnsiTheme="majorHAnsi" w:cs="CIDFont+F1"/>
          <w:color w:val="806000" w:themeColor="accent4" w:themeShade="80"/>
          <w:sz w:val="24"/>
          <w:szCs w:val="24"/>
        </w:rPr>
        <w:t xml:space="preserve">Committee Members, volunteers, hirers &amp; anyone working at the Village Hall will be asked to read (on the website) the Safeguarding Policy/Procedure. A hardcopy of this is to be made available on request &amp; an information leaflet will be displayed on the Notice Board.  </w:t>
      </w:r>
    </w:p>
    <w:p w14:paraId="3250AD38" w14:textId="77777777" w:rsidR="008C6960" w:rsidRPr="008B1EF4" w:rsidRDefault="008C6960" w:rsidP="0073720C">
      <w:pPr>
        <w:pStyle w:val="ListParagraph"/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3C290ECA" w14:textId="0AB1987C" w:rsidR="008C6960" w:rsidRDefault="008C6960" w:rsidP="0073720C">
      <w:pPr>
        <w:pStyle w:val="ListParagraph"/>
        <w:numPr>
          <w:ilvl w:val="0"/>
          <w:numId w:val="4"/>
        </w:numPr>
        <w:spacing w:before="120" w:after="0" w:line="240" w:lineRule="auto"/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</w:pPr>
      <w:r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  <w:t xml:space="preserve">A Health &amp; Safety </w:t>
      </w:r>
      <w:r w:rsidR="000D6D1E"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  <w:t xml:space="preserve">walk is completed </w:t>
      </w:r>
      <w:r w:rsidR="00BF4FB0"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  <w:t xml:space="preserve">twice annually </w:t>
      </w:r>
      <w:r w:rsidR="000D6D1E"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  <w:t>by at least 2 committee members and the CT.</w:t>
      </w:r>
    </w:p>
    <w:p w14:paraId="6C3FA471" w14:textId="77777777" w:rsidR="00BF4FB0" w:rsidRPr="00BF4FB0" w:rsidRDefault="00BF4FB0" w:rsidP="00BF4FB0">
      <w:pPr>
        <w:pStyle w:val="ListParagraph"/>
        <w:spacing w:before="120" w:after="0" w:line="240" w:lineRule="auto"/>
        <w:ind w:left="644"/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</w:pPr>
    </w:p>
    <w:p w14:paraId="057DC4ED" w14:textId="32CB8D23" w:rsidR="008C6960" w:rsidRPr="008C6960" w:rsidRDefault="008C6960" w:rsidP="0073720C">
      <w:pPr>
        <w:pStyle w:val="ListParagraph"/>
        <w:numPr>
          <w:ilvl w:val="0"/>
          <w:numId w:val="4"/>
        </w:numPr>
        <w:spacing w:before="120" w:after="0" w:line="240" w:lineRule="auto"/>
        <w:rPr>
          <w:rFonts w:asciiTheme="majorHAnsi" w:hAnsiTheme="majorHAnsi"/>
          <w:b/>
          <w:bCs/>
          <w:color w:val="806000" w:themeColor="accent4" w:themeShade="80"/>
          <w:sz w:val="24"/>
          <w:szCs w:val="24"/>
        </w:rPr>
      </w:pPr>
      <w:r>
        <w:rPr>
          <w:rFonts w:asciiTheme="majorHAnsi" w:hAnsiTheme="majorHAnsi"/>
          <w:color w:val="806000" w:themeColor="accent4" w:themeShade="80"/>
          <w:sz w:val="24"/>
          <w:szCs w:val="24"/>
        </w:rPr>
        <w:t>This H&amp;S Risk Assessment will be reviewed regularly. The WCCVH will inform the Chairperson of any concerns and these concerns.</w:t>
      </w:r>
      <w:r w:rsidR="0073720C">
        <w:rPr>
          <w:rFonts w:asciiTheme="majorHAnsi" w:hAnsiTheme="majorHAnsi"/>
          <w:color w:val="806000" w:themeColor="accent4" w:themeShade="80"/>
          <w:sz w:val="24"/>
          <w:szCs w:val="24"/>
        </w:rPr>
        <w:t xml:space="preserve"> </w:t>
      </w:r>
    </w:p>
    <w:p w14:paraId="58F6E18C" w14:textId="77777777" w:rsidR="008C6960" w:rsidRPr="008C6960" w:rsidRDefault="008C6960" w:rsidP="0073720C">
      <w:pPr>
        <w:spacing w:before="120" w:after="0" w:line="240" w:lineRule="auto"/>
        <w:rPr>
          <w:rFonts w:asciiTheme="majorHAnsi" w:hAnsiTheme="majorHAnsi"/>
          <w:b/>
          <w:bCs/>
          <w:color w:val="806000" w:themeColor="accent4" w:themeShade="80"/>
          <w:sz w:val="36"/>
          <w:szCs w:val="36"/>
        </w:rPr>
      </w:pPr>
    </w:p>
    <w:p w14:paraId="2A774849" w14:textId="77777777" w:rsidR="008C6960" w:rsidRPr="008C6960" w:rsidRDefault="008C6960" w:rsidP="0073720C">
      <w:pPr>
        <w:spacing w:before="120" w:after="0" w:line="240" w:lineRule="auto"/>
        <w:ind w:left="360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780177D3" w14:textId="4389D311" w:rsidR="008C6960" w:rsidRDefault="008C6960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19731BA1" w14:textId="6FF7AAE7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0B6461B3" w14:textId="2504B438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408297EB" w14:textId="6D0AE876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5684EBC1" w14:textId="445532BD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13885E85" w14:textId="719ED055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74AB39AC" w14:textId="67D071CB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42AA71C1" w14:textId="1FDAE05E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2ADE352A" w14:textId="29AA5CE2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07BA0EAA" w14:textId="07D14AF4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03353927" w14:textId="77777777" w:rsidR="0073720C" w:rsidRDefault="0073720C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4D64E1B6" w14:textId="77777777" w:rsidR="008C6960" w:rsidRDefault="008C6960" w:rsidP="0073720C">
      <w:pPr>
        <w:spacing w:before="120" w:after="0" w:line="240" w:lineRule="auto"/>
        <w:rPr>
          <w:rFonts w:asciiTheme="majorHAnsi" w:hAnsiTheme="majorHAnsi" w:cs="CIDFont+F1"/>
          <w:color w:val="806000" w:themeColor="accent4" w:themeShade="80"/>
          <w:sz w:val="24"/>
          <w:szCs w:val="24"/>
        </w:rPr>
      </w:pPr>
    </w:p>
    <w:p w14:paraId="5668E29B" w14:textId="77777777" w:rsidR="008C6960" w:rsidRPr="00803BA5" w:rsidRDefault="008C6960" w:rsidP="0073720C">
      <w:pPr>
        <w:spacing w:before="120" w:after="0" w:line="240" w:lineRule="auto"/>
        <w:rPr>
          <w:rFonts w:asciiTheme="majorHAnsi" w:hAnsiTheme="majorHAnsi"/>
          <w:color w:val="806000" w:themeColor="accent4" w:themeShade="8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3"/>
        <w:tblW w:w="9067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1271"/>
        <w:gridCol w:w="1733"/>
        <w:gridCol w:w="1503"/>
        <w:gridCol w:w="4560"/>
      </w:tblGrid>
      <w:tr w:rsidR="0073720C" w:rsidRPr="002A2616" w14:paraId="4F5DBD10" w14:textId="77777777" w:rsidTr="002D4B39">
        <w:tc>
          <w:tcPr>
            <w:tcW w:w="9067" w:type="dxa"/>
            <w:gridSpan w:val="4"/>
          </w:tcPr>
          <w:p w14:paraId="7C2C6CFA" w14:textId="3E89B24C" w:rsidR="0073720C" w:rsidRPr="002A2616" w:rsidRDefault="0073720C" w:rsidP="002D4B39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  <w:sz w:val="36"/>
                <w:szCs w:val="36"/>
              </w:rPr>
            </w:pPr>
            <w:bookmarkStart w:id="0" w:name="_Hlk33968598"/>
            <w:r>
              <w:rPr>
                <w:rFonts w:asciiTheme="majorHAnsi" w:hAnsiTheme="majorHAnsi"/>
                <w:b/>
                <w:bCs/>
                <w:color w:val="806000" w:themeColor="accent4" w:themeShade="80"/>
                <w:sz w:val="36"/>
                <w:szCs w:val="36"/>
              </w:rPr>
              <w:t>Health &amp; Safety</w:t>
            </w:r>
            <w:r w:rsidRPr="002A2616">
              <w:rPr>
                <w:rFonts w:asciiTheme="majorHAnsi" w:hAnsiTheme="majorHAnsi"/>
                <w:b/>
                <w:bCs/>
                <w:color w:val="806000" w:themeColor="accent4" w:themeShade="80"/>
                <w:sz w:val="36"/>
                <w:szCs w:val="36"/>
              </w:rPr>
              <w:t xml:space="preserve"> Policy &amp; Procedure</w:t>
            </w:r>
          </w:p>
        </w:tc>
      </w:tr>
      <w:tr w:rsidR="0073720C" w:rsidRPr="002A2616" w14:paraId="0CCF3B70" w14:textId="77777777" w:rsidTr="002D4B39">
        <w:tc>
          <w:tcPr>
            <w:tcW w:w="1271" w:type="dxa"/>
          </w:tcPr>
          <w:p w14:paraId="5A2AED98" w14:textId="77777777" w:rsidR="0073720C" w:rsidRPr="002A2616" w:rsidRDefault="0073720C" w:rsidP="002D4B39">
            <w:pPr>
              <w:spacing w:before="120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2A2616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 xml:space="preserve">Date </w:t>
            </w:r>
          </w:p>
          <w:p w14:paraId="3BE9D7CE" w14:textId="77777777" w:rsidR="0073720C" w:rsidRPr="002A2616" w:rsidRDefault="0073720C" w:rsidP="002D4B39">
            <w:pPr>
              <w:spacing w:before="120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2A2616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Created</w:t>
            </w:r>
          </w:p>
        </w:tc>
        <w:sdt>
          <w:sdtPr>
            <w:rPr>
              <w:rFonts w:asciiTheme="majorHAnsi" w:hAnsiTheme="majorHAnsi"/>
              <w:color w:val="806000" w:themeColor="accent4" w:themeShade="80"/>
              <w:sz w:val="24"/>
              <w:szCs w:val="24"/>
            </w:rPr>
            <w:alias w:val="Enter Date"/>
            <w:tag w:val="Enter Date"/>
            <w:id w:val="1625735573"/>
            <w:placeholder>
              <w:docPart w:val="9E80A83EDB67446D87887C246AE86E5C"/>
            </w:placeholder>
            <w:date w:fullDate="2020-02-2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33" w:type="dxa"/>
              </w:tcPr>
              <w:p w14:paraId="1508CFC8" w14:textId="05150894" w:rsidR="0073720C" w:rsidRPr="002A2616" w:rsidRDefault="0029203C" w:rsidP="002D4B39">
                <w:pPr>
                  <w:spacing w:before="120"/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  <w:t>28/02/2020</w:t>
                </w:r>
              </w:p>
            </w:tc>
          </w:sdtContent>
        </w:sdt>
        <w:tc>
          <w:tcPr>
            <w:tcW w:w="1503" w:type="dxa"/>
          </w:tcPr>
          <w:p w14:paraId="0E17EC3F" w14:textId="77777777" w:rsidR="0073720C" w:rsidRPr="002A2616" w:rsidRDefault="0073720C" w:rsidP="002D4B39">
            <w:pPr>
              <w:spacing w:before="120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2A2616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Chairperson Signature</w:t>
            </w:r>
          </w:p>
        </w:tc>
        <w:tc>
          <w:tcPr>
            <w:tcW w:w="4560" w:type="dxa"/>
          </w:tcPr>
          <w:p w14:paraId="46CEF664" w14:textId="77777777" w:rsidR="0073720C" w:rsidRPr="002A2616" w:rsidRDefault="0073720C" w:rsidP="002D4B39">
            <w:pPr>
              <w:spacing w:before="120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73720C" w:rsidRPr="002A2616" w14:paraId="32782EBD" w14:textId="77777777" w:rsidTr="002D4B39">
        <w:tc>
          <w:tcPr>
            <w:tcW w:w="1271" w:type="dxa"/>
          </w:tcPr>
          <w:p w14:paraId="0527FAC1" w14:textId="77777777" w:rsidR="0073720C" w:rsidRPr="002A2616" w:rsidRDefault="0073720C" w:rsidP="002D4B39">
            <w:pPr>
              <w:spacing w:before="120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2A2616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Date Reviewed</w:t>
            </w:r>
          </w:p>
        </w:tc>
        <w:sdt>
          <w:sdtPr>
            <w:rPr>
              <w:rFonts w:asciiTheme="majorHAnsi" w:hAnsiTheme="majorHAnsi"/>
              <w:color w:val="806000" w:themeColor="accent4" w:themeShade="80"/>
              <w:sz w:val="24"/>
              <w:szCs w:val="24"/>
            </w:rPr>
            <w:alias w:val="Enter Date"/>
            <w:tag w:val="Enter Date"/>
            <w:id w:val="1972549698"/>
            <w:placeholder>
              <w:docPart w:val="3716CFE21F3C46B29488A25AF27274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33" w:type="dxa"/>
              </w:tcPr>
              <w:p w14:paraId="69CB6107" w14:textId="77777777" w:rsidR="0073720C" w:rsidRPr="002A2616" w:rsidRDefault="0073720C" w:rsidP="002D4B39">
                <w:pPr>
                  <w:spacing w:before="120"/>
                  <w:rPr>
                    <w:rFonts w:asciiTheme="majorHAnsi" w:hAnsiTheme="majorHAnsi"/>
                    <w:color w:val="806000" w:themeColor="accent4" w:themeShade="80"/>
                    <w:sz w:val="24"/>
                    <w:szCs w:val="24"/>
                  </w:rPr>
                </w:pPr>
                <w:r w:rsidRPr="002A2616">
                  <w:rPr>
                    <w:rStyle w:val="PlaceholderText"/>
                    <w:rFonts w:asciiTheme="majorHAnsi" w:hAnsiTheme="majorHAnsi"/>
                  </w:rPr>
                  <w:t>Enter Date</w:t>
                </w:r>
              </w:p>
            </w:tc>
          </w:sdtContent>
        </w:sdt>
        <w:tc>
          <w:tcPr>
            <w:tcW w:w="1503" w:type="dxa"/>
          </w:tcPr>
          <w:p w14:paraId="3A563C1C" w14:textId="77777777" w:rsidR="0073720C" w:rsidRPr="002A2616" w:rsidRDefault="0073720C" w:rsidP="002D4B39">
            <w:pPr>
              <w:spacing w:before="120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  <w:r w:rsidRPr="002A2616"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  <w:t>Chairperson Signature</w:t>
            </w:r>
          </w:p>
        </w:tc>
        <w:tc>
          <w:tcPr>
            <w:tcW w:w="4560" w:type="dxa"/>
          </w:tcPr>
          <w:p w14:paraId="194CCD99" w14:textId="77777777" w:rsidR="0073720C" w:rsidRPr="002A2616" w:rsidRDefault="0073720C" w:rsidP="002D4B39">
            <w:pPr>
              <w:spacing w:before="120"/>
              <w:rPr>
                <w:rFonts w:asciiTheme="majorHAnsi" w:hAnsiTheme="majorHAnsi"/>
                <w:color w:val="806000" w:themeColor="accent4" w:themeShade="80"/>
                <w:sz w:val="24"/>
                <w:szCs w:val="24"/>
              </w:rPr>
            </w:pPr>
          </w:p>
        </w:tc>
      </w:tr>
      <w:tr w:rsidR="0073720C" w:rsidRPr="002A2616" w14:paraId="6384EDDB" w14:textId="77777777" w:rsidTr="002D4B39">
        <w:tc>
          <w:tcPr>
            <w:tcW w:w="9067" w:type="dxa"/>
            <w:gridSpan w:val="4"/>
          </w:tcPr>
          <w:p w14:paraId="47A5DF6D" w14:textId="77777777" w:rsidR="0073720C" w:rsidRPr="002A2616" w:rsidRDefault="0073720C" w:rsidP="002D4B39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2A2616"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  <w:t>All Policies &amp; Procedures will be reviewed and amended by the Committee as needed.</w:t>
            </w:r>
          </w:p>
          <w:p w14:paraId="41793F79" w14:textId="77777777" w:rsidR="0073720C" w:rsidRPr="002A2616" w:rsidRDefault="0073720C" w:rsidP="002D4B39">
            <w:pPr>
              <w:spacing w:before="120"/>
              <w:jc w:val="center"/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</w:pPr>
            <w:r w:rsidRPr="002A2616">
              <w:rPr>
                <w:rFonts w:asciiTheme="majorHAnsi" w:hAnsiTheme="majorHAnsi"/>
                <w:b/>
                <w:bCs/>
                <w:color w:val="806000" w:themeColor="accent4" w:themeShade="80"/>
                <w:sz w:val="24"/>
                <w:szCs w:val="24"/>
              </w:rPr>
              <w:t>NO Policy or Procedure will go more than 2 years without a review.</w:t>
            </w:r>
          </w:p>
        </w:tc>
      </w:tr>
      <w:bookmarkEnd w:id="0"/>
    </w:tbl>
    <w:p w14:paraId="47751E11" w14:textId="77777777" w:rsidR="00FD607D" w:rsidRDefault="00E14079" w:rsidP="0073720C">
      <w:pPr>
        <w:spacing w:before="120" w:after="0" w:line="240" w:lineRule="auto"/>
      </w:pPr>
    </w:p>
    <w:sectPr w:rsidR="00FD607D" w:rsidSect="00803BA5">
      <w:headerReference w:type="default" r:id="rId7"/>
      <w:footerReference w:type="default" r:id="rId8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CB2C" w14:textId="77777777" w:rsidR="00E14079" w:rsidRDefault="00E14079" w:rsidP="0073720C">
      <w:pPr>
        <w:spacing w:after="0" w:line="240" w:lineRule="auto"/>
      </w:pPr>
      <w:r>
        <w:separator/>
      </w:r>
    </w:p>
  </w:endnote>
  <w:endnote w:type="continuationSeparator" w:id="0">
    <w:p w14:paraId="1DA89070" w14:textId="77777777" w:rsidR="00E14079" w:rsidRDefault="00E14079" w:rsidP="0073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7413912"/>
      <w:docPartObj>
        <w:docPartGallery w:val="Page Numbers (Bottom of Page)"/>
        <w:docPartUnique/>
      </w:docPartObj>
    </w:sdtPr>
    <w:sdtEndPr>
      <w:rPr>
        <w:noProof/>
        <w:color w:val="806000" w:themeColor="accent4" w:themeShade="80"/>
      </w:rPr>
    </w:sdtEndPr>
    <w:sdtContent>
      <w:p w14:paraId="02438B05" w14:textId="03169A1E" w:rsidR="003D0FED" w:rsidRPr="003D0FED" w:rsidRDefault="0073720C">
        <w:pPr>
          <w:pStyle w:val="Footer"/>
          <w:jc w:val="right"/>
          <w:rPr>
            <w:color w:val="806000" w:themeColor="accent4" w:themeShade="80"/>
          </w:rPr>
        </w:pPr>
        <w:r w:rsidRPr="003D0FED">
          <w:rPr>
            <w:color w:val="806000" w:themeColor="accent4" w:themeShade="80"/>
          </w:rPr>
          <w:fldChar w:fldCharType="begin"/>
        </w:r>
        <w:r w:rsidRPr="003D0FED">
          <w:rPr>
            <w:color w:val="806000" w:themeColor="accent4" w:themeShade="80"/>
          </w:rPr>
          <w:instrText xml:space="preserve"> PAGE   \* MERGEFORMAT </w:instrText>
        </w:r>
        <w:r w:rsidRPr="003D0FED">
          <w:rPr>
            <w:color w:val="806000" w:themeColor="accent4" w:themeShade="80"/>
          </w:rPr>
          <w:fldChar w:fldCharType="separate"/>
        </w:r>
        <w:r w:rsidRPr="003D0FED">
          <w:rPr>
            <w:noProof/>
            <w:color w:val="806000" w:themeColor="accent4" w:themeShade="80"/>
          </w:rPr>
          <w:t>2</w:t>
        </w:r>
        <w:r w:rsidRPr="003D0FED">
          <w:rPr>
            <w:noProof/>
            <w:color w:val="806000" w:themeColor="accent4" w:themeShade="80"/>
          </w:rPr>
          <w:fldChar w:fldCharType="end"/>
        </w:r>
        <w:r w:rsidRPr="003D0FED">
          <w:rPr>
            <w:noProof/>
            <w:color w:val="806000" w:themeColor="accent4" w:themeShade="80"/>
          </w:rPr>
          <w:t xml:space="preserve"> of </w:t>
        </w:r>
        <w:r>
          <w:rPr>
            <w:noProof/>
            <w:color w:val="806000" w:themeColor="accent4" w:themeShade="80"/>
          </w:rPr>
          <w:t>2</w:t>
        </w:r>
      </w:p>
    </w:sdtContent>
  </w:sdt>
  <w:p w14:paraId="7438F609" w14:textId="77777777" w:rsidR="003D0FED" w:rsidRDefault="00E14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F6602" w14:textId="77777777" w:rsidR="00E14079" w:rsidRDefault="00E14079" w:rsidP="0073720C">
      <w:pPr>
        <w:spacing w:after="0" w:line="240" w:lineRule="auto"/>
      </w:pPr>
      <w:r>
        <w:separator/>
      </w:r>
    </w:p>
  </w:footnote>
  <w:footnote w:type="continuationSeparator" w:id="0">
    <w:p w14:paraId="0AF198B3" w14:textId="77777777" w:rsidR="00E14079" w:rsidRDefault="00E14079" w:rsidP="00737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A3246" w14:textId="77777777" w:rsidR="006F0BA1" w:rsidRDefault="0073720C" w:rsidP="00803BA5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TrebuchetMS-Bold"/>
        <w:b/>
        <w:bCs/>
        <w:color w:val="806000" w:themeColor="accent4" w:themeShade="80"/>
        <w:sz w:val="32"/>
        <w:szCs w:val="32"/>
      </w:rPr>
    </w:pPr>
    <w:r>
      <w:rPr>
        <w:rFonts w:asciiTheme="majorHAnsi" w:hAnsiTheme="majorHAnsi" w:cs="TrebuchetMS-Bold"/>
        <w:b/>
        <w:bCs/>
        <w:color w:val="806000" w:themeColor="accent4" w:themeShade="80"/>
        <w:sz w:val="32"/>
        <w:szCs w:val="32"/>
      </w:rPr>
      <w:t xml:space="preserve">WYBOSTON, CHAWSTON &amp; COLESDEN </w:t>
    </w:r>
    <w:r>
      <w:rPr>
        <w:rFonts w:asciiTheme="majorHAnsi" w:hAnsiTheme="majorHAnsi" w:cs="TrebuchetMS-Bold"/>
        <w:b/>
        <w:bCs/>
        <w:i/>
        <w:iCs/>
        <w:color w:val="806000" w:themeColor="accent4" w:themeShade="80"/>
        <w:sz w:val="32"/>
        <w:szCs w:val="32"/>
      </w:rPr>
      <w:t>VILLAGE HALL</w:t>
    </w:r>
  </w:p>
  <w:p w14:paraId="37F7525D" w14:textId="77777777" w:rsidR="006F0BA1" w:rsidRDefault="00E14079">
    <w:pPr>
      <w:pStyle w:val="Header"/>
    </w:pPr>
  </w:p>
  <w:p w14:paraId="261F96B3" w14:textId="77777777" w:rsidR="006F0BA1" w:rsidRDefault="00E14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77CD0"/>
    <w:multiLevelType w:val="hybridMultilevel"/>
    <w:tmpl w:val="FCC83D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61E"/>
    <w:multiLevelType w:val="hybridMultilevel"/>
    <w:tmpl w:val="1F8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86C66"/>
    <w:multiLevelType w:val="hybridMultilevel"/>
    <w:tmpl w:val="BA4EE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0FCA"/>
    <w:multiLevelType w:val="hybridMultilevel"/>
    <w:tmpl w:val="89EE0ED2"/>
    <w:lvl w:ilvl="0" w:tplc="A35CA4D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E853EC"/>
    <w:multiLevelType w:val="hybridMultilevel"/>
    <w:tmpl w:val="CCB27722"/>
    <w:lvl w:ilvl="0" w:tplc="B52020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60"/>
    <w:rsid w:val="000954B9"/>
    <w:rsid w:val="000D6D1E"/>
    <w:rsid w:val="0015273E"/>
    <w:rsid w:val="001847F1"/>
    <w:rsid w:val="001A4648"/>
    <w:rsid w:val="001B0159"/>
    <w:rsid w:val="0029203C"/>
    <w:rsid w:val="0073720C"/>
    <w:rsid w:val="008C6960"/>
    <w:rsid w:val="00974BD4"/>
    <w:rsid w:val="009B1B24"/>
    <w:rsid w:val="00BF4FB0"/>
    <w:rsid w:val="00DC54D8"/>
    <w:rsid w:val="00DD3708"/>
    <w:rsid w:val="00E1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08FEC"/>
  <w15:chartTrackingRefBased/>
  <w15:docId w15:val="{04A5838D-0541-49FD-8BDC-E0BFD727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960"/>
  </w:style>
  <w:style w:type="paragraph" w:styleId="Footer">
    <w:name w:val="footer"/>
    <w:basedOn w:val="Normal"/>
    <w:link w:val="FooterChar"/>
    <w:uiPriority w:val="99"/>
    <w:unhideWhenUsed/>
    <w:rsid w:val="008C69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960"/>
  </w:style>
  <w:style w:type="table" w:styleId="TableGrid">
    <w:name w:val="Table Grid"/>
    <w:basedOn w:val="TableNormal"/>
    <w:uiPriority w:val="39"/>
    <w:rsid w:val="008C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C696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8C6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6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80A83EDB67446D87887C246AE8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BFE9-E060-4E73-8E82-3518B6842940}"/>
      </w:docPartPr>
      <w:docPartBody>
        <w:p w:rsidR="00ED6EC3" w:rsidRDefault="003F3DC5" w:rsidP="003F3DC5">
          <w:pPr>
            <w:pStyle w:val="9E80A83EDB67446D87887C246AE86E5C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3716CFE21F3C46B29488A25AF272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B6B3-CFC7-4095-94FE-A513DC96D899}"/>
      </w:docPartPr>
      <w:docPartBody>
        <w:p w:rsidR="00ED6EC3" w:rsidRDefault="003F3DC5" w:rsidP="003F3DC5">
          <w:pPr>
            <w:pStyle w:val="3716CFE21F3C46B29488A25AF272740F"/>
          </w:pPr>
          <w:r>
            <w:rPr>
              <w:rStyle w:val="PlaceholderText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C5"/>
    <w:rsid w:val="002526BD"/>
    <w:rsid w:val="003F3DC5"/>
    <w:rsid w:val="00B8008F"/>
    <w:rsid w:val="00EA1DF2"/>
    <w:rsid w:val="00E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DC5"/>
    <w:rPr>
      <w:color w:val="808080"/>
    </w:rPr>
  </w:style>
  <w:style w:type="paragraph" w:customStyle="1" w:styleId="B1872C27473A49BDA004255AFC296006">
    <w:name w:val="B1872C27473A49BDA004255AFC296006"/>
    <w:rsid w:val="003F3DC5"/>
  </w:style>
  <w:style w:type="paragraph" w:customStyle="1" w:styleId="FF9F266E584445F69AAF6CBC53AEBF7C">
    <w:name w:val="FF9F266E584445F69AAF6CBC53AEBF7C"/>
    <w:rsid w:val="003F3DC5"/>
  </w:style>
  <w:style w:type="paragraph" w:customStyle="1" w:styleId="9E80A83EDB67446D87887C246AE86E5C">
    <w:name w:val="9E80A83EDB67446D87887C246AE86E5C"/>
    <w:rsid w:val="003F3DC5"/>
  </w:style>
  <w:style w:type="paragraph" w:customStyle="1" w:styleId="3716CFE21F3C46B29488A25AF272740F">
    <w:name w:val="3716CFE21F3C46B29488A25AF272740F"/>
    <w:rsid w:val="003F3D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Martillo</dc:creator>
  <cp:keywords/>
  <dc:description/>
  <cp:lastModifiedBy>Emma Martillo</cp:lastModifiedBy>
  <cp:revision>4</cp:revision>
  <dcterms:created xsi:type="dcterms:W3CDTF">2020-03-05T00:54:00Z</dcterms:created>
  <dcterms:modified xsi:type="dcterms:W3CDTF">2020-07-12T11:56:00Z</dcterms:modified>
</cp:coreProperties>
</file>